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008" w:rsidRDefault="00930DF7">
      <w:pPr>
        <w:keepNext/>
        <w:spacing w:after="240"/>
        <w:jc w:val="center"/>
        <w:rPr>
          <w:lang w:eastAsia="zh-TW"/>
        </w:rPr>
      </w:pPr>
      <w:bookmarkStart w:id="0" w:name="_GoBack"/>
      <w:bookmarkEnd w:id="0"/>
      <w:r>
        <w:rPr>
          <w:rFonts w:ascii="Songti TC" w:hAnsi="Songti TC" w:cs="Songti TC"/>
          <w:b/>
          <w:sz w:val="28"/>
          <w:lang w:eastAsia="zh-TW"/>
        </w:rPr>
        <w:t>高中篇術語與用詞選擇說明</w:t>
      </w:r>
    </w:p>
    <w:p w:rsidR="000F4008" w:rsidRDefault="00930DF7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t>一、適用讀者與翻譯取向</w:t>
      </w:r>
    </w:p>
    <w:p w:rsidR="000F4008" w:rsidRDefault="00930DF7">
      <w:pPr>
        <w:rPr>
          <w:lang w:eastAsia="zh-TW"/>
        </w:rPr>
      </w:pPr>
      <w:r>
        <w:rPr>
          <w:rFonts w:ascii="Songti TC" w:hAnsi="Songti TC" w:cs="Songti TC"/>
          <w:lang w:eastAsia="zh-TW"/>
        </w:rPr>
        <w:t>高中篇面向已具備初中中國歷史基礎的高一、高二學生。譯文可使用教材中的正式歷史、政治與分析詞彙，也可使用受控的被動語態、名詞化及因果複句。學生可見的</w:t>
      </w:r>
      <w:r>
        <w:rPr>
          <w:rFonts w:eastAsia="Times New Roman"/>
          <w:lang w:eastAsia="zh-TW"/>
        </w:rPr>
        <w:t xml:space="preserve"> PPT </w:t>
      </w:r>
      <w:r>
        <w:rPr>
          <w:rFonts w:ascii="Songti TC" w:hAnsi="Songti TC" w:cs="Songti TC"/>
          <w:lang w:eastAsia="zh-TW"/>
        </w:rPr>
        <w:t>文字仍保持清楚主幹，</w:t>
      </w:r>
      <w:r>
        <w:rPr>
          <w:rFonts w:ascii="Songti TC" w:eastAsia="新細明體" w:hAnsi="Songti TC" w:cs="Songti TC" w:hint="eastAsia"/>
          <w:lang w:eastAsia="zh-TW"/>
        </w:rPr>
        <w:t>保持</w:t>
      </w:r>
      <w:r>
        <w:rPr>
          <w:rFonts w:ascii="Songti TC" w:hAnsi="Songti TC" w:cs="Songti TC"/>
          <w:lang w:eastAsia="zh-TW"/>
        </w:rPr>
        <w:t>邏輯和</w:t>
      </w:r>
      <w:proofErr w:type="gramStart"/>
      <w:r>
        <w:rPr>
          <w:rFonts w:ascii="Songti TC" w:hAnsi="Songti TC" w:cs="Songti TC"/>
          <w:lang w:eastAsia="zh-TW"/>
        </w:rPr>
        <w:t>控制句長</w:t>
      </w:r>
      <w:proofErr w:type="gramEnd"/>
      <w:r>
        <w:rPr>
          <w:rFonts w:ascii="Songti TC" w:hAnsi="Songti TC" w:cs="Songti TC"/>
          <w:lang w:eastAsia="zh-TW"/>
        </w:rPr>
        <w:t>。</w:t>
      </w:r>
    </w:p>
    <w:p w:rsidR="000F4008" w:rsidRDefault="00930DF7">
      <w:pPr>
        <w:pStyle w:val="1"/>
      </w:pPr>
      <w:proofErr w:type="spellStart"/>
      <w:r>
        <w:rPr>
          <w:rFonts w:ascii="Songti TC" w:eastAsia="Songti TC" w:hAnsi="Songti TC" w:cs="Songti TC"/>
        </w:rPr>
        <w:t>二、固定專名</w:t>
      </w:r>
      <w:proofErr w:type="spellEnd"/>
    </w:p>
    <w:tbl>
      <w:tblPr>
        <w:tblStyle w:val="af4"/>
        <w:tblW w:w="8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2400"/>
        <w:gridCol w:w="4350"/>
      </w:tblGrid>
      <w:tr w:rsidR="000F4008">
        <w:trPr>
          <w:cantSplit/>
          <w:tblHeader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中文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採用英文</w:t>
            </w:r>
            <w:proofErr w:type="spellEnd"/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選擇理由</w:t>
            </w:r>
            <w:proofErr w:type="spellEnd"/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中國共產黨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Communist Party of China (CPC)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每份獨立文件首次給出官方全稱與縮寫；後文按句法使用</w:t>
            </w:r>
            <w:proofErr w:type="spellEnd"/>
            <w:r>
              <w:rPr>
                <w:rFonts w:eastAsia="Times New Roman"/>
                <w:sz w:val="19"/>
              </w:rPr>
              <w:t xml:space="preserve"> the CPC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 xml:space="preserve">CPC Central </w:t>
            </w:r>
            <w:proofErr w:type="spellStart"/>
            <w:r>
              <w:rPr>
                <w:rFonts w:eastAsia="Times New Roman"/>
                <w:sz w:val="19"/>
              </w:rPr>
              <w:t>Committee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the</w:t>
            </w:r>
            <w:proofErr w:type="spellEnd"/>
            <w:r>
              <w:rPr>
                <w:rFonts w:eastAsia="Times New Roman"/>
                <w:sz w:val="19"/>
              </w:rPr>
              <w:t xml:space="preserve"> CPC's </w:t>
            </w:r>
            <w:r>
              <w:rPr>
                <w:rFonts w:ascii="Songti TC" w:hAnsi="Songti TC" w:cs="Songti TC"/>
                <w:sz w:val="19"/>
              </w:rPr>
              <w:t>或</w:t>
            </w:r>
            <w:r>
              <w:rPr>
                <w:rFonts w:eastAsia="Times New Roman"/>
                <w:sz w:val="19"/>
              </w:rPr>
              <w:t xml:space="preserve"> CPC </w:t>
            </w:r>
            <w:proofErr w:type="spellStart"/>
            <w:r>
              <w:rPr>
                <w:rFonts w:eastAsia="Times New Roman"/>
                <w:sz w:val="19"/>
              </w:rPr>
              <w:t>members</w:t>
            </w:r>
            <w:r>
              <w:rPr>
                <w:rFonts w:ascii="Songti TC" w:hAnsi="Songti TC" w:cs="Songti TC"/>
                <w:sz w:val="19"/>
              </w:rPr>
              <w:t>，不用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CCP</w:t>
            </w:r>
            <w:r>
              <w:rPr>
                <w:rFonts w:ascii="Songti TC" w:hAnsi="Songti TC" w:cs="Songti TC"/>
                <w:sz w:val="19"/>
              </w:rPr>
              <w:t>。固定引文或主體已完全明確的語境可用</w:t>
            </w:r>
            <w:proofErr w:type="spellEnd"/>
            <w:r>
              <w:rPr>
                <w:rFonts w:eastAsia="Times New Roman"/>
                <w:sz w:val="19"/>
              </w:rPr>
              <w:t xml:space="preserve"> the Party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中國工農紅軍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Chinese Workers' and Peasants' Red Army (the Red Army)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保留教材正式軍隊名稱；後文簡稱</w:t>
            </w:r>
            <w:proofErr w:type="spellEnd"/>
            <w:r>
              <w:rPr>
                <w:rFonts w:eastAsia="Times New Roman"/>
                <w:sz w:val="19"/>
              </w:rPr>
              <w:t xml:space="preserve"> the Red Army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長征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Long March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正式歷史事件名稱，</w:t>
            </w:r>
            <w:r>
              <w:rPr>
                <w:rFonts w:eastAsia="Times New Roman"/>
                <w:sz w:val="19"/>
              </w:rPr>
              <w:t>Long</w:t>
            </w:r>
            <w:proofErr w:type="spellEnd"/>
            <w:r>
              <w:rPr>
                <w:rFonts w:eastAsia="Times New Roman"/>
                <w:sz w:val="19"/>
              </w:rPr>
              <w:t xml:space="preserve"> March </w:t>
            </w:r>
            <w:proofErr w:type="spellStart"/>
            <w:r>
              <w:rPr>
                <w:rFonts w:ascii="Songti TC" w:hAnsi="Songti TC" w:cs="Songti TC"/>
                <w:sz w:val="19"/>
              </w:rPr>
              <w:t>固定大寫</w:t>
            </w:r>
            <w:proofErr w:type="spellEnd"/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紅軍長征勝利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victory of the Long March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紀念語境必須保留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victory</w:t>
            </w:r>
            <w:r>
              <w:rPr>
                <w:rFonts w:ascii="Songti TC" w:hAnsi="Songti TC" w:cs="Songti TC"/>
                <w:sz w:val="19"/>
              </w:rPr>
              <w:t>，不能只寫</w:t>
            </w:r>
            <w:proofErr w:type="spellEnd"/>
            <w:r>
              <w:rPr>
                <w:rFonts w:eastAsia="Times New Roman"/>
                <w:sz w:val="19"/>
              </w:rPr>
              <w:t xml:space="preserve"> Long March anniversary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長征精神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Long March spirit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正文中</w:t>
            </w:r>
            <w:proofErr w:type="spellEnd"/>
            <w:r>
              <w:rPr>
                <w:rFonts w:eastAsia="Times New Roman"/>
                <w:sz w:val="19"/>
              </w:rPr>
              <w:t xml:space="preserve"> spirit </w:t>
            </w:r>
            <w:proofErr w:type="spellStart"/>
            <w:r>
              <w:rPr>
                <w:rFonts w:ascii="Songti TC" w:hAnsi="Songti TC" w:cs="Songti TC"/>
                <w:sz w:val="19"/>
              </w:rPr>
              <w:t>小寫；僅在標題式文字中可按</w:t>
            </w:r>
            <w:proofErr w:type="spellEnd"/>
            <w:r>
              <w:rPr>
                <w:rFonts w:eastAsia="Times New Roman"/>
                <w:sz w:val="19"/>
              </w:rPr>
              <w:t xml:space="preserve"> Title Case </w:t>
            </w:r>
            <w:proofErr w:type="spellStart"/>
            <w:r>
              <w:rPr>
                <w:rFonts w:ascii="Songti TC" w:hAnsi="Songti TC" w:cs="Songti TC"/>
                <w:sz w:val="19"/>
              </w:rPr>
              <w:t>寫作</w:t>
            </w:r>
            <w:proofErr w:type="spellEnd"/>
            <w:r>
              <w:rPr>
                <w:rFonts w:eastAsia="Times New Roman"/>
                <w:sz w:val="19"/>
              </w:rPr>
              <w:t xml:space="preserve"> The Long March </w:t>
            </w:r>
            <w:proofErr w:type="spellStart"/>
            <w:r>
              <w:rPr>
                <w:rFonts w:eastAsia="Times New Roman"/>
                <w:sz w:val="19"/>
              </w:rPr>
              <w:t>Spirit</w:t>
            </w:r>
            <w:r>
              <w:rPr>
                <w:rFonts w:ascii="Songti TC" w:hAnsi="Songti TC" w:cs="Songti TC"/>
                <w:sz w:val="19"/>
              </w:rPr>
              <w:t>。強調的是有固定歷史內涵的精神傳承</w:t>
            </w:r>
            <w:proofErr w:type="spellEnd"/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遵義會議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 xml:space="preserve">the </w:t>
            </w:r>
            <w:proofErr w:type="spellStart"/>
            <w:r>
              <w:rPr>
                <w:rFonts w:eastAsia="Times New Roman"/>
                <w:sz w:val="19"/>
              </w:rPr>
              <w:t>Zunyi</w:t>
            </w:r>
            <w:proofErr w:type="spellEnd"/>
            <w:r>
              <w:rPr>
                <w:rFonts w:eastAsia="Times New Roman"/>
                <w:sz w:val="19"/>
              </w:rPr>
              <w:t xml:space="preserve"> Conference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沿用人教澳門版英文教材定譯。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澳門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Macao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符合項目指定教材與官方英文慣例，不用</w:t>
            </w:r>
            <w:r>
              <w:rPr>
                <w:rFonts w:eastAsia="Times New Roman"/>
                <w:sz w:val="19"/>
                <w:lang w:eastAsia="zh-TW"/>
              </w:rPr>
              <w:t xml:space="preserve"> Macau</w:t>
            </w:r>
            <w:r>
              <w:rPr>
                <w:rFonts w:ascii="Songti TC" w:hAnsi="Songti TC" w:cs="Songti TC"/>
                <w:sz w:val="19"/>
                <w:lang w:eastAsia="zh-TW"/>
              </w:rPr>
              <w:t>。</w:t>
            </w:r>
          </w:p>
        </w:tc>
      </w:tr>
    </w:tbl>
    <w:p w:rsidR="000F4008" w:rsidRDefault="000F4008">
      <w:pPr>
        <w:spacing w:after="0"/>
        <w:rPr>
          <w:lang w:eastAsia="zh-TW"/>
        </w:rPr>
      </w:pPr>
    </w:p>
    <w:p w:rsidR="000F4008" w:rsidRDefault="00930DF7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t>三、高中階段保留的正式歷史術語</w:t>
      </w:r>
    </w:p>
    <w:tbl>
      <w:tblPr>
        <w:tblStyle w:val="af4"/>
        <w:tblW w:w="8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2400"/>
        <w:gridCol w:w="4350"/>
      </w:tblGrid>
      <w:tr w:rsidR="000F4008">
        <w:trPr>
          <w:cantSplit/>
          <w:tblHeader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中文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採用英文</w:t>
            </w:r>
            <w:proofErr w:type="spellEnd"/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選擇理由</w:t>
            </w:r>
            <w:proofErr w:type="spellEnd"/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戰略轉移／戰略大轉移</w:t>
            </w:r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strategic maneuver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高中教材已有對應的歷史與軍事概念，學生具備理解基礎；比</w:t>
            </w:r>
            <w:proofErr w:type="spellEnd"/>
            <w:r>
              <w:rPr>
                <w:rFonts w:eastAsia="Times New Roman"/>
                <w:sz w:val="19"/>
              </w:rPr>
              <w:t xml:space="preserve"> a long, planned journey </w:t>
            </w:r>
            <w:proofErr w:type="spellStart"/>
            <w:r>
              <w:rPr>
                <w:rFonts w:ascii="Songti TC" w:hAnsi="Songti TC" w:cs="Songti TC"/>
                <w:sz w:val="19"/>
              </w:rPr>
              <w:t>更準確地呈現戰略性</w:t>
            </w:r>
            <w:proofErr w:type="spellEnd"/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lastRenderedPageBreak/>
              <w:t>保存革命力量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preserve the revolutionary forces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高中篇需準確表達被保存的是革命的有生力量，不能只改成</w:t>
            </w:r>
            <w:proofErr w:type="spellEnd"/>
            <w:r>
              <w:rPr>
                <w:rFonts w:eastAsia="Times New Roman"/>
                <w:sz w:val="19"/>
              </w:rPr>
              <w:t xml:space="preserve"> keep strong </w:t>
            </w:r>
            <w:proofErr w:type="spellStart"/>
            <w:r>
              <w:rPr>
                <w:rFonts w:ascii="Songti TC" w:hAnsi="Songti TC" w:cs="Songti TC"/>
                <w:sz w:val="19"/>
              </w:rPr>
              <w:t>等低齡說法</w:t>
            </w:r>
            <w:proofErr w:type="spellEnd"/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北上抗日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move north to resist Japanese aggression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保留方向、目的及抗日正當性，避免縮成</w:t>
            </w:r>
            <w:proofErr w:type="spellEnd"/>
            <w:r>
              <w:rPr>
                <w:rFonts w:eastAsia="Times New Roman"/>
                <w:sz w:val="19"/>
              </w:rPr>
              <w:t xml:space="preserve"> move north </w:t>
            </w:r>
            <w:r>
              <w:rPr>
                <w:rFonts w:ascii="Songti TC" w:hAnsi="Songti TC" w:cs="Songti TC"/>
                <w:sz w:val="19"/>
              </w:rPr>
              <w:t>或</w:t>
            </w:r>
            <w:r>
              <w:rPr>
                <w:rFonts w:eastAsia="Times New Roman"/>
                <w:sz w:val="19"/>
              </w:rPr>
              <w:t xml:space="preserve"> resist Japan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proofErr w:type="gramStart"/>
            <w:r>
              <w:rPr>
                <w:rFonts w:ascii="Songti TC" w:hAnsi="Songti TC" w:cs="Songti TC"/>
                <w:sz w:val="19"/>
              </w:rPr>
              <w:t>第五次反</w:t>
            </w:r>
            <w:r>
              <w:rPr>
                <w:rFonts w:eastAsia="Times New Roman"/>
                <w:sz w:val="19"/>
              </w:rPr>
              <w:t>“</w:t>
            </w:r>
            <w:proofErr w:type="gramEnd"/>
            <w:r>
              <w:rPr>
                <w:rFonts w:ascii="Songti TC" w:hAnsi="Songti TC" w:cs="Songti TC"/>
                <w:sz w:val="19"/>
              </w:rPr>
              <w:t>圍剿</w:t>
            </w:r>
            <w:proofErr w:type="spellEnd"/>
            <w:r>
              <w:rPr>
                <w:rFonts w:eastAsia="Times New Roman"/>
                <w:sz w:val="19"/>
              </w:rPr>
              <w:t>”</w:t>
            </w:r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fifth counter-encirclement campaign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沿用教材中的軍事史術語，作為</w:t>
            </w:r>
            <w:r>
              <w:rPr>
                <w:rFonts w:eastAsia="Times New Roman"/>
                <w:sz w:val="19"/>
                <w:lang w:eastAsia="zh-TW"/>
              </w:rPr>
              <w:t xml:space="preserve"> PPT</w:t>
            </w:r>
            <w:r>
              <w:rPr>
                <w:rFonts w:ascii="Songti TC" w:hAnsi="Songti TC" w:cs="Songti TC"/>
                <w:sz w:val="19"/>
                <w:lang w:eastAsia="zh-TW"/>
              </w:rPr>
              <w:t>、教案與工作紙的控制形式；英文不用中文式引號。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中共中央政治局擴大會議</w:t>
            </w:r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an enlarged meeting of the Political Bureau of the CPC Central Committee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完整呈現會議層級與組織主體，適合高中歷史分析。</w:t>
            </w:r>
          </w:p>
        </w:tc>
      </w:tr>
      <w:tr w:rsidR="000F4008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紅軍三大主力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 xml:space="preserve">the three main forces of the </w:t>
            </w:r>
            <w:r>
              <w:rPr>
                <w:rFonts w:eastAsia="Times New Roman"/>
                <w:sz w:val="19"/>
              </w:rPr>
              <w:t>Red Army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與教材地圖及歷史敘述一致，不自行改成</w:t>
            </w:r>
            <w:proofErr w:type="spellEnd"/>
            <w:r>
              <w:rPr>
                <w:rFonts w:eastAsia="Times New Roman"/>
                <w:sz w:val="19"/>
              </w:rPr>
              <w:t xml:space="preserve"> three armies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</w:tbl>
    <w:p w:rsidR="000F4008" w:rsidRDefault="000F4008">
      <w:pPr>
        <w:spacing w:after="0"/>
      </w:pPr>
    </w:p>
    <w:p w:rsidR="000F4008" w:rsidRDefault="00930DF7">
      <w:proofErr w:type="spellStart"/>
      <w:r>
        <w:rPr>
          <w:rFonts w:ascii="Songti TC" w:hAnsi="Songti TC" w:cs="Songti TC"/>
        </w:rPr>
        <w:t>四、關鍵思想表述</w:t>
      </w:r>
      <w:proofErr w:type="spellEnd"/>
    </w:p>
    <w:p w:rsidR="000F4008" w:rsidRDefault="00930DF7">
      <w:r>
        <w:rPr>
          <w:rFonts w:eastAsia="Times New Roman"/>
        </w:rPr>
        <w:t>“</w:t>
      </w:r>
      <w:proofErr w:type="spellStart"/>
      <w:r>
        <w:rPr>
          <w:rFonts w:ascii="Songti TC" w:hAnsi="Songti TC" w:cs="Songti TC"/>
        </w:rPr>
        <w:t>韌性不在於從不犯錯，</w:t>
      </w:r>
      <w:proofErr w:type="gramStart"/>
      <w:r>
        <w:rPr>
          <w:rFonts w:ascii="Songti TC" w:hAnsi="Songti TC" w:cs="Songti TC"/>
        </w:rPr>
        <w:t>而在於擁有強大的自我修正能力</w:t>
      </w:r>
      <w:r>
        <w:rPr>
          <w:rFonts w:eastAsia="Times New Roman"/>
        </w:rPr>
        <w:t>”</w:t>
      </w:r>
      <w:r>
        <w:rPr>
          <w:rFonts w:ascii="Songti TC" w:hAnsi="Songti TC" w:cs="Songti TC"/>
        </w:rPr>
        <w:t>譯為</w:t>
      </w:r>
      <w:proofErr w:type="spellEnd"/>
      <w:proofErr w:type="gramEnd"/>
      <w:r>
        <w:rPr>
          <w:rFonts w:eastAsia="Times New Roman"/>
        </w:rPr>
        <w:t xml:space="preserve"> “Resilience does not mean never making mistakes; it means having a powerful capacity for self-correction.” </w:t>
      </w:r>
      <w:proofErr w:type="spellStart"/>
      <w:r>
        <w:rPr>
          <w:rFonts w:ascii="Songti TC" w:hAnsi="Songti TC" w:cs="Songti TC"/>
        </w:rPr>
        <w:t>這一版本保留原文的否定</w:t>
      </w:r>
      <w:proofErr w:type="spellEnd"/>
      <w:r>
        <w:rPr>
          <w:rFonts w:eastAsia="Times New Roman"/>
        </w:rPr>
        <w:t>—</w:t>
      </w:r>
      <w:proofErr w:type="spellStart"/>
      <w:r>
        <w:rPr>
          <w:rFonts w:ascii="Songti TC" w:hAnsi="Songti TC" w:cs="Songti TC"/>
        </w:rPr>
        <w:t>轉折</w:t>
      </w:r>
      <w:proofErr w:type="spellEnd"/>
      <w:r>
        <w:rPr>
          <w:rFonts w:eastAsia="Times New Roman"/>
        </w:rPr>
        <w:t>—</w:t>
      </w:r>
      <w:proofErr w:type="spellStart"/>
      <w:r>
        <w:rPr>
          <w:rFonts w:ascii="Songti TC" w:hAnsi="Songti TC" w:cs="Songti TC"/>
        </w:rPr>
        <w:t>界定結構，符合高中生分析概念的能力，避免把思想壓成一般勵志口號</w:t>
      </w:r>
      <w:proofErr w:type="spellEnd"/>
      <w:r>
        <w:rPr>
          <w:rFonts w:ascii="Songti TC" w:hAnsi="Songti TC" w:cs="Songti TC"/>
        </w:rPr>
        <w:t>。</w:t>
      </w:r>
    </w:p>
    <w:p w:rsidR="000F4008" w:rsidRDefault="00930DF7">
      <w:r>
        <w:rPr>
          <w:rFonts w:eastAsia="Times New Roman"/>
        </w:rPr>
        <w:t>“</w:t>
      </w:r>
      <w:proofErr w:type="spellStart"/>
      <w:r>
        <w:rPr>
          <w:rFonts w:ascii="Songti TC" w:hAnsi="Songti TC" w:cs="Songti TC"/>
        </w:rPr>
        <w:t>長征不僅是一場地理大遷徙，</w:t>
      </w:r>
      <w:proofErr w:type="gramStart"/>
      <w:r>
        <w:rPr>
          <w:rFonts w:ascii="Songti TC" w:hAnsi="Songti TC" w:cs="Songti TC"/>
        </w:rPr>
        <w:t>更是在極度</w:t>
      </w:r>
      <w:r>
        <w:rPr>
          <w:rFonts w:ascii="Songti TC" w:hAnsi="Songti TC" w:cs="Songti TC"/>
        </w:rPr>
        <w:t>絕境中尋求突破的生存奇蹟</w:t>
      </w:r>
      <w:r>
        <w:rPr>
          <w:rFonts w:eastAsia="Times New Roman"/>
        </w:rPr>
        <w:t>”</w:t>
      </w:r>
      <w:r>
        <w:rPr>
          <w:rFonts w:ascii="Songti TC" w:hAnsi="Songti TC" w:cs="Songti TC"/>
        </w:rPr>
        <w:t>保留</w:t>
      </w:r>
      <w:proofErr w:type="spellEnd"/>
      <w:proofErr w:type="gramEnd"/>
      <w:r>
        <w:rPr>
          <w:rFonts w:eastAsia="Times New Roman"/>
        </w:rPr>
        <w:t xml:space="preserve"> not merely ...; it was ... </w:t>
      </w:r>
      <w:proofErr w:type="spellStart"/>
      <w:r>
        <w:rPr>
          <w:rFonts w:ascii="Songti TC" w:hAnsi="Songti TC" w:cs="Songti TC"/>
        </w:rPr>
        <w:t>的對比結構，讓學生看見地理行動、戰略意義與精神價值之間的層次</w:t>
      </w:r>
      <w:proofErr w:type="spellEnd"/>
      <w:r>
        <w:rPr>
          <w:rFonts w:ascii="Songti TC" w:hAnsi="Songti TC" w:cs="Songti TC"/>
        </w:rPr>
        <w:t>。</w:t>
      </w:r>
    </w:p>
    <w:p w:rsidR="000F4008" w:rsidRDefault="00930DF7">
      <w:pPr>
        <w:rPr>
          <w:lang w:eastAsia="zh-TW"/>
        </w:rPr>
      </w:pPr>
      <w:proofErr w:type="spellStart"/>
      <w:r>
        <w:rPr>
          <w:rFonts w:ascii="Songti TC" w:hAnsi="Songti TC" w:cs="Songti TC"/>
        </w:rPr>
        <w:t>高中篇的核心概念主詞確立為</w:t>
      </w:r>
      <w:proofErr w:type="spellEnd"/>
      <w:r>
        <w:rPr>
          <w:rFonts w:eastAsia="Times New Roman"/>
        </w:rPr>
        <w:t xml:space="preserve"> Conviction </w:t>
      </w:r>
      <w:r>
        <w:rPr>
          <w:rFonts w:ascii="Songti TC" w:hAnsi="Songti TC" w:cs="Songti TC"/>
        </w:rPr>
        <w:t>與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Resilience</w:t>
      </w:r>
      <w:r>
        <w:rPr>
          <w:rFonts w:ascii="Songti TC" w:hAnsi="Songti TC" w:cs="Songti TC"/>
        </w:rPr>
        <w:t>。當題目要求概括兩個核心關鍵詞時，規範答案使用</w:t>
      </w:r>
      <w:proofErr w:type="spellEnd"/>
      <w:r>
        <w:rPr>
          <w:rFonts w:eastAsia="Times New Roman"/>
        </w:rPr>
        <w:t xml:space="preserve"> Conviction and </w:t>
      </w:r>
      <w:proofErr w:type="spellStart"/>
      <w:r>
        <w:rPr>
          <w:rFonts w:eastAsia="Times New Roman"/>
        </w:rPr>
        <w:t>Resilience</w:t>
      </w:r>
      <w:r>
        <w:rPr>
          <w:rFonts w:ascii="Songti TC" w:hAnsi="Songti TC" w:cs="Songti TC"/>
        </w:rPr>
        <w:t>；</w:t>
      </w:r>
      <w:r>
        <w:rPr>
          <w:rFonts w:eastAsia="Times New Roman"/>
        </w:rPr>
        <w:t>Pioneering</w:t>
      </w:r>
      <w:proofErr w:type="spellEnd"/>
      <w:r>
        <w:rPr>
          <w:rFonts w:eastAsia="Times New Roman"/>
        </w:rPr>
        <w:t xml:space="preserve"> and Courage </w:t>
      </w:r>
      <w:r>
        <w:rPr>
          <w:rFonts w:ascii="Songti TC" w:hAnsi="Songti TC" w:cs="Songti TC"/>
        </w:rPr>
        <w:t>是</w:t>
      </w:r>
      <w:r>
        <w:rPr>
          <w:rFonts w:eastAsia="Times New Roman"/>
        </w:rPr>
        <w:t xml:space="preserve"> Conviction </w:t>
      </w:r>
      <w:proofErr w:type="spellStart"/>
      <w:r>
        <w:rPr>
          <w:rFonts w:ascii="Songti TC" w:hAnsi="Songti TC" w:cs="Songti TC"/>
        </w:rPr>
        <w:t>的外在表現，</w:t>
      </w:r>
      <w:r>
        <w:rPr>
          <w:rFonts w:eastAsia="Times New Roman"/>
        </w:rPr>
        <w:t>Self-Correction</w:t>
      </w:r>
      <w:proofErr w:type="spellEnd"/>
      <w:r>
        <w:rPr>
          <w:rFonts w:eastAsia="Times New Roman"/>
        </w:rPr>
        <w:t xml:space="preserve"> and Perseverance </w:t>
      </w:r>
      <w:r>
        <w:rPr>
          <w:rFonts w:ascii="Songti TC" w:hAnsi="Songti TC" w:cs="Songti TC"/>
        </w:rPr>
        <w:t>是</w:t>
      </w:r>
      <w:r>
        <w:rPr>
          <w:rFonts w:eastAsia="Times New Roman"/>
        </w:rPr>
        <w:t xml:space="preserve"> Resilience </w:t>
      </w:r>
      <w:proofErr w:type="spellStart"/>
      <w:r>
        <w:rPr>
          <w:rFonts w:ascii="Songti TC" w:hAnsi="Songti TC" w:cs="Songti TC"/>
        </w:rPr>
        <w:t>的形成機制或</w:t>
      </w:r>
      <w:r>
        <w:rPr>
          <w:rFonts w:ascii="Songti TC" w:hAnsi="Songti TC" w:cs="Songti TC"/>
        </w:rPr>
        <w:t>表現。章節標籤可按內容使用</w:t>
      </w:r>
      <w:proofErr w:type="spellEnd"/>
      <w:r>
        <w:rPr>
          <w:rFonts w:eastAsia="Times New Roman"/>
        </w:rPr>
        <w:t xml:space="preserve"> Pioneering and Conviction </w:t>
      </w:r>
      <w:r>
        <w:rPr>
          <w:rFonts w:ascii="Songti TC" w:hAnsi="Songti TC" w:cs="Songti TC"/>
        </w:rPr>
        <w:t>與</w:t>
      </w:r>
      <w:r>
        <w:rPr>
          <w:rFonts w:eastAsia="Times New Roman"/>
        </w:rPr>
        <w:t xml:space="preserve"> Resilience through </w:t>
      </w:r>
      <w:proofErr w:type="spellStart"/>
      <w:r>
        <w:rPr>
          <w:rFonts w:eastAsia="Times New Roman"/>
        </w:rPr>
        <w:t>Self-Correction</w:t>
      </w:r>
      <w:r>
        <w:rPr>
          <w:rFonts w:ascii="Songti TC" w:hAnsi="Songti TC" w:cs="Songti TC"/>
        </w:rPr>
        <w:t>，但不把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Pioneering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Courage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Self-Correction</w:t>
      </w:r>
      <w:proofErr w:type="spellEnd"/>
      <w:r>
        <w:rPr>
          <w:rFonts w:eastAsia="Times New Roman"/>
        </w:rPr>
        <w:t xml:space="preserve"> </w:t>
      </w:r>
      <w:r>
        <w:rPr>
          <w:rFonts w:ascii="Songti TC" w:hAnsi="Songti TC" w:cs="Songti TC"/>
        </w:rPr>
        <w:t>或</w:t>
      </w:r>
      <w:r>
        <w:rPr>
          <w:rFonts w:eastAsia="Times New Roman"/>
        </w:rPr>
        <w:t xml:space="preserve"> Perseverance </w:t>
      </w:r>
      <w:proofErr w:type="spellStart"/>
      <w:r>
        <w:rPr>
          <w:rFonts w:ascii="Songti TC" w:hAnsi="Songti TC" w:cs="Songti TC"/>
        </w:rPr>
        <w:t>與兩個核心主詞並列成互相競爭的答案。</w:t>
      </w:r>
      <w:proofErr w:type="spellEnd"/>
      <w:r>
        <w:rPr>
          <w:rFonts w:ascii="Songti TC" w:hAnsi="Songti TC" w:cs="Songti TC"/>
          <w:lang w:eastAsia="zh-TW"/>
        </w:rPr>
        <w:t>學生若以其他詞作答，教師可在其解釋準確時視為相關表現，並引導回</w:t>
      </w:r>
      <w:r>
        <w:rPr>
          <w:rFonts w:eastAsia="Times New Roman"/>
          <w:lang w:eastAsia="zh-TW"/>
        </w:rPr>
        <w:t xml:space="preserve"> Conviction</w:t>
      </w:r>
      <w:r>
        <w:rPr>
          <w:rFonts w:ascii="Songti TC" w:hAnsi="Songti TC" w:cs="Songti TC"/>
          <w:lang w:eastAsia="zh-TW"/>
        </w:rPr>
        <w:t>／</w:t>
      </w:r>
      <w:r>
        <w:rPr>
          <w:rFonts w:eastAsia="Times New Roman"/>
          <w:lang w:eastAsia="zh-TW"/>
        </w:rPr>
        <w:t xml:space="preserve">Resilience </w:t>
      </w:r>
      <w:r>
        <w:rPr>
          <w:rFonts w:ascii="Songti TC" w:hAnsi="Songti TC" w:cs="Songti TC"/>
          <w:lang w:eastAsia="zh-TW"/>
        </w:rPr>
        <w:t>的概念層級。</w:t>
      </w:r>
    </w:p>
    <w:p w:rsidR="000F4008" w:rsidRDefault="00930DF7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lastRenderedPageBreak/>
        <w:t>五、跨文件一致性與允許差異</w:t>
      </w:r>
    </w:p>
    <w:p w:rsidR="000F4008" w:rsidRDefault="00930DF7">
      <w:proofErr w:type="spellStart"/>
      <w:r>
        <w:rPr>
          <w:rFonts w:eastAsia="Times New Roman"/>
        </w:rPr>
        <w:t>PPT</w:t>
      </w:r>
      <w:r>
        <w:rPr>
          <w:rFonts w:ascii="Songti TC" w:hAnsi="Songti TC" w:cs="Songti TC"/>
        </w:rPr>
        <w:t>、教案與工作紙以</w:t>
      </w:r>
      <w:proofErr w:type="spellEnd"/>
      <w:r>
        <w:rPr>
          <w:rFonts w:eastAsia="Times New Roman"/>
        </w:rPr>
        <w:t xml:space="preserve"> strategic </w:t>
      </w:r>
      <w:proofErr w:type="spellStart"/>
      <w:r>
        <w:rPr>
          <w:rFonts w:eastAsia="Times New Roman"/>
        </w:rPr>
        <w:t>maneuver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Long March </w:t>
      </w:r>
      <w:proofErr w:type="spellStart"/>
      <w:r>
        <w:rPr>
          <w:rFonts w:eastAsia="Times New Roman"/>
        </w:rPr>
        <w:t>spirit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Zunyi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Conference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three main forces of the Red </w:t>
      </w:r>
      <w:proofErr w:type="spellStart"/>
      <w:r>
        <w:rPr>
          <w:rFonts w:eastAsia="Times New Roman"/>
        </w:rPr>
        <w:t>Army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Conviction</w:t>
      </w:r>
      <w:proofErr w:type="spellEnd"/>
      <w:r>
        <w:rPr>
          <w:rFonts w:eastAsia="Times New Roman"/>
        </w:rPr>
        <w:t xml:space="preserve"> </w:t>
      </w:r>
      <w:r>
        <w:rPr>
          <w:rFonts w:ascii="Songti TC" w:hAnsi="Songti TC" w:cs="Songti TC"/>
        </w:rPr>
        <w:t>及</w:t>
      </w:r>
      <w:r>
        <w:rPr>
          <w:rFonts w:eastAsia="Times New Roman"/>
        </w:rPr>
        <w:t xml:space="preserve"> Resilience </w:t>
      </w:r>
      <w:proofErr w:type="spellStart"/>
      <w:r>
        <w:rPr>
          <w:rFonts w:ascii="Songti TC" w:hAnsi="Songti TC" w:cs="Songti TC"/>
        </w:rPr>
        <w:t>等為控制表述。正式紀念標題完整保留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founding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victory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Communist</w:t>
      </w:r>
      <w:proofErr w:type="spellEnd"/>
      <w:r>
        <w:rPr>
          <w:rFonts w:eastAsia="Times New Roman"/>
        </w:rPr>
        <w:t xml:space="preserve"> Party of China </w:t>
      </w:r>
      <w:r>
        <w:rPr>
          <w:rFonts w:ascii="Songti TC" w:hAnsi="Songti TC" w:cs="Songti TC"/>
        </w:rPr>
        <w:t>及</w:t>
      </w:r>
      <w:r>
        <w:rPr>
          <w:rFonts w:eastAsia="Times New Roman"/>
        </w:rPr>
        <w:t xml:space="preserve"> the Long </w:t>
      </w:r>
      <w:proofErr w:type="spellStart"/>
      <w:r>
        <w:rPr>
          <w:rFonts w:eastAsia="Times New Roman"/>
        </w:rPr>
        <w:t>March</w:t>
      </w:r>
      <w:r>
        <w:rPr>
          <w:rFonts w:ascii="Songti TC" w:hAnsi="Songti TC" w:cs="Songti TC"/>
        </w:rPr>
        <w:t>；相同中文概念在相同語境下採相同英文，不為同一標題、事件或核心問題保留無理由的多套譯法</w:t>
      </w:r>
      <w:proofErr w:type="spellEnd"/>
      <w:r>
        <w:rPr>
          <w:rFonts w:ascii="Songti TC" w:hAnsi="Songti TC" w:cs="Songti TC"/>
        </w:rPr>
        <w:t>。</w:t>
      </w:r>
    </w:p>
    <w:p w:rsidR="000F4008" w:rsidRDefault="00930DF7">
      <w:r>
        <w:rPr>
          <w:rFonts w:ascii="Songti TC" w:hAnsi="Songti TC" w:cs="Songti TC"/>
        </w:rPr>
        <w:t>允許的差異包括首次全稱與後續短式、正式文件或活動標題、直接引</w:t>
      </w:r>
      <w:r>
        <w:rPr>
          <w:rFonts w:ascii="Songti TC" w:hAnsi="Songti TC" w:cs="Songti TC"/>
        </w:rPr>
        <w:t>文，以及為配合句法所作的名詞／動詞轉換。黨代會名稱首次作概念性介紹時使用全稱，例如</w:t>
      </w:r>
      <w:r>
        <w:rPr>
          <w:rFonts w:eastAsia="Times New Roman"/>
        </w:rPr>
        <w:t xml:space="preserve"> the First National Congress of the Communist Party of </w:t>
      </w:r>
      <w:proofErr w:type="spellStart"/>
      <w:r>
        <w:rPr>
          <w:rFonts w:eastAsia="Times New Roman"/>
        </w:rPr>
        <w:t>China</w:t>
      </w:r>
      <w:r>
        <w:rPr>
          <w:rFonts w:ascii="Songti TC" w:hAnsi="Songti TC" w:cs="Songti TC"/>
        </w:rPr>
        <w:t>；在同一文件已引入</w:t>
      </w:r>
      <w:proofErr w:type="spellEnd"/>
      <w:r>
        <w:rPr>
          <w:rFonts w:eastAsia="Times New Roman"/>
        </w:rPr>
        <w:t xml:space="preserve"> CPC </w:t>
      </w:r>
      <w:proofErr w:type="spellStart"/>
      <w:r>
        <w:rPr>
          <w:rFonts w:ascii="Songti TC" w:hAnsi="Songti TC" w:cs="Songti TC"/>
        </w:rPr>
        <w:t>後，可用</w:t>
      </w:r>
      <w:proofErr w:type="spellEnd"/>
      <w:r>
        <w:rPr>
          <w:rFonts w:eastAsia="Times New Roman"/>
        </w:rPr>
        <w:t xml:space="preserve"> the First CPC National </w:t>
      </w:r>
      <w:proofErr w:type="spellStart"/>
      <w:r>
        <w:rPr>
          <w:rFonts w:eastAsia="Times New Roman"/>
        </w:rPr>
        <w:t>Congress</w:t>
      </w:r>
      <w:r>
        <w:rPr>
          <w:rFonts w:ascii="Songti TC" w:hAnsi="Songti TC" w:cs="Songti TC"/>
        </w:rPr>
        <w:t>。第二次、第三次全國代表大會依此類推。</w:t>
      </w:r>
      <w:r>
        <w:rPr>
          <w:rFonts w:eastAsia="Times New Roman"/>
        </w:rPr>
        <w:t>CPC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ascii="Songti TC" w:hAnsi="Songti TC" w:cs="Songti TC"/>
        </w:rPr>
        <w:t>作定語或所有格時分別使用</w:t>
      </w:r>
      <w:proofErr w:type="spellEnd"/>
      <w:r>
        <w:rPr>
          <w:rFonts w:eastAsia="Times New Roman"/>
        </w:rPr>
        <w:t xml:space="preserve"> CPC Central </w:t>
      </w:r>
      <w:proofErr w:type="spellStart"/>
      <w:r>
        <w:rPr>
          <w:rFonts w:eastAsia="Times New Roman"/>
        </w:rPr>
        <w:t>Committee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CPC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members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CPC's</w:t>
      </w:r>
      <w:r>
        <w:rPr>
          <w:rFonts w:ascii="Songti TC" w:hAnsi="Songti TC" w:cs="Songti TC"/>
        </w:rPr>
        <w:t>，不機械地在</w:t>
      </w:r>
      <w:proofErr w:type="spellEnd"/>
      <w:r>
        <w:rPr>
          <w:rFonts w:eastAsia="Times New Roman"/>
        </w:rPr>
        <w:t xml:space="preserve"> CPC </w:t>
      </w:r>
      <w:proofErr w:type="spellStart"/>
      <w:r>
        <w:rPr>
          <w:rFonts w:ascii="Songti TC" w:hAnsi="Songti TC" w:cs="Songti TC"/>
        </w:rPr>
        <w:t>前一律加</w:t>
      </w:r>
      <w:proofErr w:type="spellEnd"/>
      <w:r>
        <w:rPr>
          <w:rFonts w:eastAsia="Times New Roman"/>
        </w:rPr>
        <w:t xml:space="preserve"> the</w:t>
      </w:r>
      <w:r>
        <w:rPr>
          <w:rFonts w:ascii="Songti TC" w:hAnsi="Songti TC" w:cs="Songti TC"/>
        </w:rPr>
        <w:t>。</w:t>
      </w:r>
    </w:p>
    <w:p w:rsidR="000F4008" w:rsidRDefault="00930DF7">
      <w:pPr>
        <w:pStyle w:val="1"/>
        <w:rPr>
          <w:rFonts w:eastAsia="新細明體"/>
          <w:lang w:eastAsia="zh-TW"/>
        </w:rPr>
      </w:pPr>
      <w:r>
        <w:rPr>
          <w:rFonts w:ascii="Songti TC" w:eastAsia="Songti TC" w:hAnsi="Songti TC" w:cs="Songti TC"/>
          <w:lang w:eastAsia="zh-TW"/>
        </w:rPr>
        <w:t>六、高小</w:t>
      </w:r>
      <w:proofErr w:type="gramStart"/>
      <w:r>
        <w:rPr>
          <w:rFonts w:ascii="Times New Roman" w:eastAsia="Times New Roman" w:hAnsi="Times New Roman" w:cs="Times New Roman"/>
          <w:lang w:eastAsia="zh-TW"/>
        </w:rPr>
        <w:t>—</w:t>
      </w:r>
      <w:proofErr w:type="gramEnd"/>
      <w:r>
        <w:rPr>
          <w:rFonts w:ascii="Songti TC" w:eastAsia="Songti TC" w:hAnsi="Songti TC" w:cs="Songti TC"/>
          <w:lang w:eastAsia="zh-TW"/>
        </w:rPr>
        <w:t>初中</w:t>
      </w:r>
      <w:r>
        <w:rPr>
          <w:rFonts w:ascii="Times New Roman" w:eastAsia="Times New Roman" w:hAnsi="Times New Roman" w:cs="Times New Roman"/>
          <w:lang w:eastAsia="zh-TW"/>
        </w:rPr>
        <w:t>—</w:t>
      </w:r>
      <w:r>
        <w:rPr>
          <w:rFonts w:ascii="Songti TC" w:eastAsia="Songti TC" w:hAnsi="Songti TC" w:cs="Songti TC"/>
          <w:lang w:eastAsia="zh-TW"/>
        </w:rPr>
        <w:t>高中</w:t>
      </w:r>
      <w:proofErr w:type="gramStart"/>
      <w:r>
        <w:rPr>
          <w:rFonts w:ascii="Songti TC" w:eastAsia="Songti TC" w:hAnsi="Songti TC" w:cs="Songti TC"/>
          <w:lang w:eastAsia="zh-TW"/>
        </w:rPr>
        <w:t>跨學段</w:t>
      </w:r>
      <w:r>
        <w:rPr>
          <w:rFonts w:ascii="Songti TC" w:eastAsia="新細明體" w:hAnsi="Songti TC" w:cs="Songti TC" w:hint="eastAsia"/>
          <w:lang w:eastAsia="zh-TW"/>
        </w:rPr>
        <w:t>選</w:t>
      </w:r>
      <w:proofErr w:type="gramEnd"/>
      <w:r>
        <w:rPr>
          <w:rFonts w:ascii="Songti TC" w:eastAsia="新細明體" w:hAnsi="Songti TC" w:cs="Songti TC" w:hint="eastAsia"/>
          <w:lang w:eastAsia="zh-TW"/>
        </w:rPr>
        <w:t>詞對比</w:t>
      </w:r>
    </w:p>
    <w:tbl>
      <w:tblPr>
        <w:tblStyle w:val="af4"/>
        <w:tblW w:w="8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660"/>
      </w:tblGrid>
      <w:tr w:rsidR="000F4008">
        <w:trPr>
          <w:cantSplit/>
          <w:tblHeader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控制項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高小篇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初中篇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高中篇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差異原因</w:t>
            </w:r>
            <w:proofErr w:type="spellEnd"/>
          </w:p>
        </w:tc>
      </w:tr>
      <w:tr w:rsidR="000F4008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固定政治與歷史專名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首次全稱後使用受控短式；保留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CPC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Red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Army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Long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March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victory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ascii="Songti TC" w:hAnsi="Songti TC" w:cs="Songti TC"/>
                <w:sz w:val="19"/>
              </w:rPr>
              <w:t>等關鍵詞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沿用同一專名規則，加入可教的學科術語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沿用同一專名規則，使用更完整的組織層級與正式歷史名稱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專名、政治主體及紀念語義不因年級改變；只調整解釋密度。</w:t>
            </w:r>
          </w:p>
        </w:tc>
      </w:tr>
      <w:tr w:rsidR="000F4008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戰略轉移與出發原因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可用</w:t>
            </w:r>
            <w:proofErr w:type="spellEnd"/>
            <w:r>
              <w:rPr>
                <w:rFonts w:eastAsia="Times New Roman"/>
                <w:sz w:val="19"/>
              </w:rPr>
              <w:t xml:space="preserve"> a long, planned </w:t>
            </w:r>
            <w:proofErr w:type="spellStart"/>
            <w:r>
              <w:rPr>
                <w:rFonts w:eastAsia="Times New Roman"/>
                <w:sz w:val="19"/>
              </w:rPr>
              <w:t>journey</w:t>
            </w:r>
            <w:r>
              <w:rPr>
                <w:rFonts w:ascii="Songti TC" w:hAnsi="Songti TC" w:cs="Songti TC"/>
                <w:sz w:val="19"/>
              </w:rPr>
              <w:t>，並以</w:t>
            </w:r>
            <w:proofErr w:type="spellEnd"/>
            <w:r>
              <w:rPr>
                <w:rFonts w:eastAsia="Times New Roman"/>
                <w:sz w:val="19"/>
              </w:rPr>
              <w:t xml:space="preserve"> keep the army </w:t>
            </w:r>
            <w:proofErr w:type="spellStart"/>
            <w:r>
              <w:rPr>
                <w:rFonts w:eastAsia="Times New Roman"/>
                <w:sz w:val="19"/>
              </w:rPr>
              <w:t>strong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continue</w:t>
            </w:r>
            <w:proofErr w:type="spellEnd"/>
            <w:r>
              <w:rPr>
                <w:rFonts w:eastAsia="Times New Roman"/>
                <w:sz w:val="19"/>
              </w:rPr>
              <w:t xml:space="preserve"> the revolution </w:t>
            </w:r>
            <w:proofErr w:type="spellStart"/>
            <w:r>
              <w:rPr>
                <w:rFonts w:ascii="Songti TC" w:hAnsi="Songti TC" w:cs="Songti TC"/>
                <w:sz w:val="19"/>
              </w:rPr>
              <w:t>等具體語句輔助理解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保留第五次反「圍剿</w:t>
            </w:r>
            <w:proofErr w:type="spellEnd"/>
            <w:r>
              <w:rPr>
                <w:rFonts w:ascii="Songti TC" w:hAnsi="Songti TC" w:cs="Songti TC"/>
                <w:sz w:val="19"/>
              </w:rPr>
              <w:t>」、</w:t>
            </w:r>
            <w:proofErr w:type="spellStart"/>
            <w:r>
              <w:rPr>
                <w:rFonts w:ascii="Songti TC" w:hAnsi="Songti TC" w:cs="Songti TC"/>
                <w:sz w:val="19"/>
              </w:rPr>
              <w:t>損失、被迫轉移等因果；源文明示時可按教材採</w:t>
            </w:r>
            <w:proofErr w:type="spellEnd"/>
            <w:r>
              <w:rPr>
                <w:rFonts w:eastAsia="Times New Roman"/>
                <w:sz w:val="19"/>
              </w:rPr>
              <w:t xml:space="preserve"> strategic shift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ascii="Songti TC" w:hAnsi="Songti TC" w:cs="Songti TC"/>
                <w:sz w:val="19"/>
              </w:rPr>
              <w:t>採</w:t>
            </w:r>
            <w:r>
              <w:rPr>
                <w:rFonts w:eastAsia="Times New Roman"/>
                <w:sz w:val="19"/>
              </w:rPr>
              <w:t xml:space="preserve"> strategic </w:t>
            </w:r>
            <w:proofErr w:type="spellStart"/>
            <w:r>
              <w:rPr>
                <w:rFonts w:eastAsia="Times New Roman"/>
                <w:sz w:val="19"/>
              </w:rPr>
              <w:t>maneuver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preserve</w:t>
            </w:r>
            <w:proofErr w:type="spellEnd"/>
            <w:r>
              <w:rPr>
                <w:rFonts w:eastAsia="Times New Roman"/>
                <w:sz w:val="19"/>
              </w:rPr>
              <w:t xml:space="preserve"> the revolutionary </w:t>
            </w:r>
            <w:proofErr w:type="spellStart"/>
            <w:r>
              <w:rPr>
                <w:rFonts w:eastAsia="Times New Roman"/>
                <w:sz w:val="19"/>
              </w:rPr>
              <w:t>forces</w:t>
            </w:r>
            <w:r>
              <w:rPr>
                <w:rFonts w:ascii="Songti TC" w:hAnsi="Songti TC" w:cs="Songti TC"/>
                <w:sz w:val="19"/>
              </w:rPr>
              <w:t>／</w:t>
            </w:r>
            <w:r>
              <w:rPr>
                <w:rFonts w:eastAsia="Times New Roman"/>
                <w:sz w:val="19"/>
              </w:rPr>
              <w:t>main</w:t>
            </w:r>
            <w:proofErr w:type="spellEnd"/>
            <w:r>
              <w:rPr>
                <w:rFonts w:eastAsia="Times New Roman"/>
                <w:sz w:val="19"/>
              </w:rPr>
              <w:t xml:space="preserve"> forces </w:t>
            </w:r>
            <w:proofErr w:type="spellStart"/>
            <w:r>
              <w:rPr>
                <w:rFonts w:ascii="Songti TC" w:hAnsi="Songti TC" w:cs="Songti TC"/>
                <w:sz w:val="19"/>
              </w:rPr>
              <w:t>等正式分析詞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隨歷史概念能力提升，由具體敘事逐步轉為軍事史與戰略分析語言，但不可刪去因果。</w:t>
            </w:r>
          </w:p>
        </w:tc>
      </w:tr>
      <w:tr w:rsidR="000F4008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lastRenderedPageBreak/>
              <w:t>歷史學習語言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短句、故事線、可觀察行動與高頻詞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使用</w:t>
            </w:r>
            <w:proofErr w:type="spellEnd"/>
            <w:r>
              <w:rPr>
                <w:rFonts w:eastAsia="Times New Roman"/>
                <w:sz w:val="19"/>
              </w:rPr>
              <w:t xml:space="preserve"> historical </w:t>
            </w:r>
            <w:proofErr w:type="spellStart"/>
            <w:r>
              <w:rPr>
                <w:rFonts w:eastAsia="Times New Roman"/>
                <w:sz w:val="19"/>
              </w:rPr>
              <w:t>source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causal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relatio</w:t>
            </w:r>
            <w:r>
              <w:rPr>
                <w:rFonts w:eastAsia="Times New Roman"/>
                <w:sz w:val="19"/>
              </w:rPr>
              <w:t>nship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revolutionary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base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counter-encirclement</w:t>
            </w:r>
            <w:proofErr w:type="spellEnd"/>
            <w:r>
              <w:rPr>
                <w:rFonts w:eastAsia="Times New Roman"/>
                <w:sz w:val="19"/>
              </w:rPr>
              <w:t xml:space="preserve"> campaign </w:t>
            </w:r>
            <w:proofErr w:type="spellStart"/>
            <w:r>
              <w:rPr>
                <w:rFonts w:ascii="Songti TC" w:hAnsi="Songti TC" w:cs="Songti TC"/>
                <w:sz w:val="19"/>
              </w:rPr>
              <w:t>等受控學科語言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可使用</w:t>
            </w:r>
            <w:proofErr w:type="spellEnd"/>
            <w:r>
              <w:rPr>
                <w:rFonts w:eastAsia="Times New Roman"/>
                <w:sz w:val="19"/>
              </w:rPr>
              <w:t xml:space="preserve"> an enlarged meeting of the Political Bureau of the CPC Central </w:t>
            </w:r>
            <w:proofErr w:type="spellStart"/>
            <w:r>
              <w:rPr>
                <w:rFonts w:eastAsia="Times New Roman"/>
                <w:sz w:val="19"/>
              </w:rPr>
              <w:t>Committee</w:t>
            </w:r>
            <w:r>
              <w:rPr>
                <w:rFonts w:ascii="Songti TC" w:hAnsi="Songti TC" w:cs="Songti TC"/>
                <w:sz w:val="19"/>
              </w:rPr>
              <w:t>、名詞化、受控被動及因果複句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三階段依閱讀能力增加術語密度和句法複雜度，史實內容保持一致。</w:t>
            </w:r>
          </w:p>
        </w:tc>
      </w:tr>
      <w:tr w:rsidR="000F4008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長征精神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ascii="Songti TC" w:hAnsi="Songti TC" w:cs="Songti TC"/>
                <w:sz w:val="19"/>
              </w:rPr>
              <w:t>以</w:t>
            </w:r>
            <w:r>
              <w:rPr>
                <w:rFonts w:eastAsia="Times New Roman"/>
                <w:sz w:val="19"/>
              </w:rPr>
              <w:t xml:space="preserve"> Mutual </w:t>
            </w:r>
            <w:proofErr w:type="spellStart"/>
            <w:r>
              <w:rPr>
                <w:rFonts w:eastAsia="Times New Roman"/>
                <w:sz w:val="19"/>
              </w:rPr>
              <w:t>help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Perseverance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Self-improvement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Bravery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Courage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Firm</w:t>
            </w:r>
            <w:proofErr w:type="spellEnd"/>
            <w:r>
              <w:rPr>
                <w:rFonts w:eastAsia="Times New Roman"/>
                <w:sz w:val="19"/>
              </w:rPr>
              <w:t xml:space="preserve"> beliefs </w:t>
            </w:r>
            <w:proofErr w:type="spellStart"/>
            <w:r>
              <w:rPr>
                <w:rFonts w:ascii="Songti TC" w:hAnsi="Songti TC" w:cs="Songti TC"/>
                <w:sz w:val="19"/>
              </w:rPr>
              <w:t>等較易懂詞語作入門概括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以六項規範標籤為主，並按源文忠實處理特定四項／五項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r>
              <w:rPr>
                <w:rFonts w:ascii="Songti TC" w:hAnsi="Songti TC" w:cs="Songti TC"/>
                <w:sz w:val="19"/>
              </w:rPr>
              <w:t>以</w:t>
            </w:r>
            <w:r>
              <w:rPr>
                <w:rFonts w:eastAsia="Times New Roman"/>
                <w:sz w:val="19"/>
              </w:rPr>
              <w:t xml:space="preserve"> Conviction </w:t>
            </w:r>
            <w:r>
              <w:rPr>
                <w:rFonts w:ascii="Songti TC" w:hAnsi="Songti TC" w:cs="Songti TC"/>
                <w:sz w:val="19"/>
              </w:rPr>
              <w:t>與</w:t>
            </w:r>
            <w:r>
              <w:rPr>
                <w:rFonts w:eastAsia="Times New Roman"/>
                <w:sz w:val="19"/>
              </w:rPr>
              <w:t xml:space="preserve"> Resilience </w:t>
            </w:r>
            <w:proofErr w:type="spellStart"/>
            <w:r>
              <w:rPr>
                <w:rFonts w:ascii="Songti TC" w:hAnsi="Songti TC" w:cs="Songti TC"/>
                <w:sz w:val="19"/>
              </w:rPr>
              <w:t>為核心；</w:t>
            </w:r>
            <w:r>
              <w:rPr>
                <w:rFonts w:eastAsia="Times New Roman"/>
                <w:sz w:val="19"/>
              </w:rPr>
              <w:t>Pioneering</w:t>
            </w:r>
            <w:proofErr w:type="spellEnd"/>
            <w:r>
              <w:rPr>
                <w:rFonts w:eastAsia="Times New Roman"/>
                <w:sz w:val="19"/>
              </w:rPr>
              <w:t xml:space="preserve"> and Courage </w:t>
            </w:r>
            <w:proofErr w:type="spellStart"/>
            <w:r>
              <w:rPr>
                <w:rFonts w:ascii="Songti TC" w:hAnsi="Songti TC" w:cs="Songti TC"/>
                <w:sz w:val="19"/>
              </w:rPr>
              <w:t>作信念的表現，</w:t>
            </w:r>
            <w:r>
              <w:rPr>
                <w:rFonts w:eastAsia="Times New Roman"/>
                <w:sz w:val="19"/>
              </w:rPr>
              <w:t>Self-Correction</w:t>
            </w:r>
            <w:proofErr w:type="spellEnd"/>
            <w:r>
              <w:rPr>
                <w:rFonts w:eastAsia="Times New Roman"/>
                <w:sz w:val="19"/>
              </w:rPr>
              <w:t xml:space="preserve"> and Perseverance </w:t>
            </w:r>
            <w:proofErr w:type="spellStart"/>
            <w:r>
              <w:rPr>
                <w:rFonts w:ascii="Songti TC" w:hAnsi="Songti TC" w:cs="Songti TC"/>
                <w:sz w:val="19"/>
              </w:rPr>
              <w:t>作韌性的機制／表現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由可感知品質，進入規範化分類，再進入概念關係分析；不是用低齡詞替換正式內涵。</w:t>
            </w:r>
          </w:p>
        </w:tc>
      </w:tr>
      <w:tr w:rsidR="000F4008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學生可見文字與教師材料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學生文字短而具體，教師備註可較完整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學生文字使用受控學科語言，教案補足背景與提問邏輯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學生文字可使用正式分析語言，但避免學術論文化；教師材料可展開論證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同一學段內學生材料與教師材料術語一致，說明詳略可不同。</w:t>
            </w:r>
          </w:p>
        </w:tc>
      </w:tr>
      <w:tr w:rsidR="000F4008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不可變的意義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黨的領導、長征勝利、北上抗日、為人民服務、正義性與基本因果均須保留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同左，並明確歷史事件間的先後與因果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同左，並呈現戰略意義、組織機制與歷史評價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0F4008" w:rsidRDefault="00930DF7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適齡化只能調整語言負荷，不能弱化政治主體、勝利意義或史實關係。</w:t>
            </w:r>
          </w:p>
        </w:tc>
      </w:tr>
    </w:tbl>
    <w:p w:rsidR="000F4008" w:rsidRDefault="000F4008">
      <w:pPr>
        <w:spacing w:after="0"/>
        <w:rPr>
          <w:lang w:eastAsia="zh-TW"/>
        </w:rPr>
      </w:pPr>
    </w:p>
    <w:p w:rsidR="000F4008" w:rsidRDefault="000F4008">
      <w:pPr>
        <w:rPr>
          <w:lang w:eastAsia="zh-TW"/>
        </w:rPr>
      </w:pPr>
    </w:p>
    <w:sectPr w:rsidR="000F4008">
      <w:headerReference w:type="default" r:id="rId8"/>
      <w:footerReference w:type="default" r:id="rId9"/>
      <w:pgSz w:w="11909" w:h="16834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008" w:rsidRDefault="00930DF7">
      <w:pPr>
        <w:spacing w:line="240" w:lineRule="auto"/>
      </w:pPr>
      <w:r>
        <w:separator/>
      </w:r>
    </w:p>
  </w:endnote>
  <w:endnote w:type="continuationSeparator" w:id="0">
    <w:p w:rsidR="000F4008" w:rsidRDefault="00930D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ngti TC">
    <w:altName w:val="Microsoft YaHei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008" w:rsidRDefault="000F400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008" w:rsidRDefault="00930DF7">
      <w:pPr>
        <w:spacing w:after="0"/>
      </w:pPr>
      <w:r>
        <w:separator/>
      </w:r>
    </w:p>
  </w:footnote>
  <w:footnote w:type="continuationSeparator" w:id="0">
    <w:p w:rsidR="000F4008" w:rsidRDefault="00930D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008" w:rsidRDefault="000F400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97BB5B8D"/>
    <w:rsid w:val="00034616"/>
    <w:rsid w:val="0006063C"/>
    <w:rsid w:val="000F4008"/>
    <w:rsid w:val="0015074B"/>
    <w:rsid w:val="0029639D"/>
    <w:rsid w:val="00326F90"/>
    <w:rsid w:val="00930DF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26C5F99B-53BB-4B1E-9BBF-35BE1B63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/>
    <w:lsdException w:name="toa heading" w:semiHidden="1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after="120" w:line="276" w:lineRule="auto"/>
    </w:pPr>
    <w:rPr>
      <w:rFonts w:ascii="Times New Roman" w:eastAsia="Songti TC" w:hAnsi="Times New Roman" w:cs="Times New Roman"/>
      <w:color w:val="000000"/>
      <w:sz w:val="24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rPr>
      <w:sz w:val="16"/>
      <w:szCs w:val="16"/>
    </w:rPr>
  </w:style>
  <w:style w:type="paragraph" w:styleId="30">
    <w:name w:val="List Bullet 3"/>
    <w:basedOn w:val="a1"/>
    <w:uiPriority w:val="99"/>
    <w:unhideWhenUsed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</w:style>
  <w:style w:type="paragraph" w:styleId="3">
    <w:name w:val="List Number 3"/>
    <w:basedOn w:val="a1"/>
    <w:uiPriority w:val="99"/>
    <w:unhideWhenUsed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pPr>
      <w:ind w:left="360"/>
      <w:contextualSpacing/>
    </w:pPr>
  </w:style>
  <w:style w:type="paragraph" w:styleId="20">
    <w:name w:val="List Bullet 2"/>
    <w:basedOn w:val="a1"/>
    <w:uiPriority w:val="99"/>
    <w:unhideWhenUsed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af1">
    <w:name w:val="List"/>
    <w:basedOn w:val="a1"/>
    <w:uiPriority w:val="99"/>
    <w:unhideWhenUsed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pPr>
      <w:spacing w:line="480" w:lineRule="auto"/>
    </w:pPr>
  </w:style>
  <w:style w:type="paragraph" w:styleId="26">
    <w:name w:val="List Continue 2"/>
    <w:basedOn w:val="a1"/>
    <w:uiPriority w:val="99"/>
    <w:unhideWhenUsed/>
    <w:pPr>
      <w:ind w:left="720"/>
      <w:contextualSpacing/>
    </w:pPr>
  </w:style>
  <w:style w:type="paragraph" w:styleId="36">
    <w:name w:val="List Continue 3"/>
    <w:basedOn w:val="a1"/>
    <w:uiPriority w:val="99"/>
    <w:unhideWhenUsed/>
    <w:pPr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</w:style>
  <w:style w:type="character" w:customStyle="1" w:styleId="ac">
    <w:name w:val="页脚 字符"/>
    <w:basedOn w:val="a2"/>
    <w:link w:val="ab"/>
    <w:uiPriority w:val="99"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</w:style>
  <w:style w:type="character" w:customStyle="1" w:styleId="25">
    <w:name w:val="正文文本 2 字符"/>
    <w:basedOn w:val="a2"/>
    <w:link w:val="24"/>
    <w:uiPriority w:val="99"/>
  </w:style>
  <w:style w:type="character" w:customStyle="1" w:styleId="35">
    <w:name w:val="正文文本 3 字符"/>
    <w:basedOn w:val="a2"/>
    <w:link w:val="34"/>
    <w:uiPriority w:val="99"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212E30A5-E088-4F42-BCCB-AB7086EC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>generated by python-docx</dc:description>
  <cp:lastModifiedBy>user-</cp:lastModifiedBy>
  <cp:revision>2</cp:revision>
  <dcterms:created xsi:type="dcterms:W3CDTF">2013-12-24T07:15:00Z</dcterms:created>
  <dcterms:modified xsi:type="dcterms:W3CDTF">2026-08-31T08:32:00Z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451F121957F14995301F916A2ECFC9D6_42</vt:lpwstr>
  </property>
</Properties>
</file>